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43C5DD7" w:rsidR="00F92268" w:rsidRPr="00FF66BF" w:rsidRDefault="00D93EB3" w:rsidP="00F246C7">
            <w:pPr>
              <w:pStyle w:val="RefTableHeader"/>
            </w:pPr>
            <w:r w:rsidRPr="00D93EB3">
              <w:t>5233-A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94F9FA6" w:rsidR="004B15BB" w:rsidRPr="00B94F44" w:rsidRDefault="00933A08" w:rsidP="007E5C16">
      <w:pPr>
        <w:pStyle w:val="Heading1"/>
      </w:pPr>
      <w:r w:rsidRPr="00933A08">
        <w:t xml:space="preserve">Specialty Guideline Management </w:t>
      </w:r>
      <w:r w:rsidR="008C54D9" w:rsidRPr="00BD1CC1">
        <w:br/>
      </w:r>
      <w:proofErr w:type="spellStart"/>
      <w:r w:rsidRPr="00933A08">
        <w:t>Pyrukynd</w:t>
      </w:r>
      <w:proofErr w:type="spellEnd"/>
    </w:p>
    <w:p w14:paraId="78861C92" w14:textId="7BF260D8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31121BB8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CB29B2" w:rsidRPr="00CB29B2">
        <w:t>Over</w:t>
      </w:r>
      <w:r w:rsidR="00EC7B41">
        <w:t>-</w:t>
      </w:r>
      <w:r w:rsidR="00CB29B2" w:rsidRPr="00CB29B2">
        <w:t>the</w:t>
      </w:r>
      <w:r w:rsidR="00EC7B41">
        <w:t>-</w:t>
      </w:r>
      <w:r w:rsidR="00CB29B2" w:rsidRPr="00CB29B2">
        <w:t>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BD1CC1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BD1CC1" w:rsidRDefault="005B4D7C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BD1CC1" w:rsidRDefault="005B4D7C">
            <w:pPr>
              <w:pStyle w:val="TableHeader"/>
            </w:pPr>
            <w:r w:rsidRPr="00BD1CC1">
              <w:t>Generic Name</w:t>
            </w:r>
          </w:p>
        </w:tc>
      </w:tr>
      <w:tr w:rsidR="005B4D7C" w:rsidRPr="00BD1CC1" w14:paraId="7742B1EC" w14:textId="77777777">
        <w:trPr>
          <w:cantSplit/>
        </w:trPr>
        <w:tc>
          <w:tcPr>
            <w:tcW w:w="5265" w:type="dxa"/>
          </w:tcPr>
          <w:p w14:paraId="4DED0C9B" w14:textId="338856DA" w:rsidR="005B4D7C" w:rsidRPr="00BD1CC1" w:rsidRDefault="00EE7E88">
            <w:pPr>
              <w:pStyle w:val="TableDataUnpadded"/>
            </w:pPr>
            <w:proofErr w:type="spellStart"/>
            <w:r w:rsidRPr="00EE7E88">
              <w:t>Pyrukynd</w:t>
            </w:r>
            <w:proofErr w:type="spellEnd"/>
          </w:p>
        </w:tc>
        <w:tc>
          <w:tcPr>
            <w:tcW w:w="5595" w:type="dxa"/>
          </w:tcPr>
          <w:p w14:paraId="1A09710D" w14:textId="522410F2" w:rsidR="005B4D7C" w:rsidRPr="00BD1CC1" w:rsidRDefault="00EE7E88">
            <w:pPr>
              <w:pStyle w:val="TableDataUnpadded"/>
            </w:pPr>
            <w:proofErr w:type="spellStart"/>
            <w:r w:rsidRPr="00EE7E88">
              <w:t>mitapivat</w:t>
            </w:r>
            <w:proofErr w:type="spellEnd"/>
          </w:p>
        </w:tc>
      </w:tr>
    </w:tbl>
    <w:p w14:paraId="14CE6108" w14:textId="34F9B9EC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1105B6AC" w14:textId="77777777" w:rsidR="00142540" w:rsidRPr="00142540" w:rsidRDefault="00142540" w:rsidP="00142540">
      <w:pPr>
        <w:pStyle w:val="BodyText"/>
      </w:pPr>
      <w:r w:rsidRPr="00142540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769ABA7B" w:rsidR="00ED052F" w:rsidRDefault="00ED052F" w:rsidP="00ED052F">
      <w:pPr>
        <w:pStyle w:val="Heading3"/>
        <w:keepNext w:val="0"/>
        <w:rPr>
          <w:vertAlign w:val="superscript"/>
        </w:rPr>
      </w:pPr>
      <w:r w:rsidRPr="00BD1CC1">
        <w:t>FDA-approved Indication</w:t>
      </w:r>
    </w:p>
    <w:p w14:paraId="44919747" w14:textId="10998812" w:rsidR="0017691E" w:rsidRPr="0017691E" w:rsidRDefault="0017691E" w:rsidP="0017691E">
      <w:pPr>
        <w:pStyle w:val="BodyText"/>
      </w:pPr>
      <w:proofErr w:type="spellStart"/>
      <w:r w:rsidRPr="0017691E">
        <w:t>Pyrukynd</w:t>
      </w:r>
      <w:proofErr w:type="spellEnd"/>
      <w:r w:rsidRPr="0017691E">
        <w:t xml:space="preserve"> is indicated for the treatment of hemolytic anemia in adults with pyruvate kinase (PK) deficiency.</w:t>
      </w:r>
    </w:p>
    <w:p w14:paraId="00CF9DFC" w14:textId="77777777" w:rsidR="0017691E" w:rsidRPr="0017691E" w:rsidRDefault="0017691E" w:rsidP="0017691E">
      <w:pPr>
        <w:pStyle w:val="BodyText"/>
      </w:pPr>
      <w:r w:rsidRPr="0017691E">
        <w:t>All other indications are considered experimental/investigational and not medically necessary.</w:t>
      </w:r>
    </w:p>
    <w:p w14:paraId="36381B6D" w14:textId="70E1D6D7" w:rsidR="000D2496" w:rsidRDefault="000D2496" w:rsidP="00B94F44">
      <w:pPr>
        <w:pStyle w:val="Heading2"/>
      </w:pPr>
      <w:r w:rsidRPr="00BD1CC1">
        <w:t>Documentation</w:t>
      </w:r>
    </w:p>
    <w:p w14:paraId="6D733549" w14:textId="77777777" w:rsidR="00F35319" w:rsidRPr="00F35319" w:rsidRDefault="00F35319" w:rsidP="00F35319">
      <w:pPr>
        <w:pStyle w:val="BodyText"/>
      </w:pPr>
      <w:r w:rsidRPr="00F35319">
        <w:t>Submission of the following information is necessary to initiate the prior authorization review:</w:t>
      </w:r>
    </w:p>
    <w:p w14:paraId="71418AA0" w14:textId="77777777" w:rsidR="00F35319" w:rsidRPr="00F35319" w:rsidRDefault="00F35319" w:rsidP="00B94F44">
      <w:pPr>
        <w:pStyle w:val="Heading3"/>
      </w:pPr>
      <w:r w:rsidRPr="00F35319">
        <w:lastRenderedPageBreak/>
        <w:t>Initial requests:</w:t>
      </w:r>
    </w:p>
    <w:p w14:paraId="2EE55887" w14:textId="77777777" w:rsidR="006A4489" w:rsidRDefault="006A4489" w:rsidP="00B94F44">
      <w:pPr>
        <w:pStyle w:val="ListParagraph"/>
        <w:keepNext/>
        <w:keepLines/>
      </w:pPr>
      <w:r w:rsidRPr="006A4489">
        <w:t>Chart notes or medical record documentation of at least one of the following:</w:t>
      </w:r>
    </w:p>
    <w:p w14:paraId="15B60C94" w14:textId="77777777" w:rsidR="006A4489" w:rsidRPr="006A4489" w:rsidRDefault="006A4489" w:rsidP="00B94F44">
      <w:pPr>
        <w:pStyle w:val="ListParagraph"/>
        <w:keepNext/>
        <w:keepLines/>
        <w:numPr>
          <w:ilvl w:val="1"/>
          <w:numId w:val="21"/>
        </w:numPr>
      </w:pPr>
      <w:r w:rsidRPr="006A4489">
        <w:t xml:space="preserve">Enzyme assay demonstrating deficiency of pyruvate kinase (PK) enzyme activity. </w:t>
      </w:r>
    </w:p>
    <w:p w14:paraId="040D5034" w14:textId="77777777" w:rsidR="006A4489" w:rsidRPr="006A4489" w:rsidRDefault="006A4489" w:rsidP="00B94F44">
      <w:pPr>
        <w:pStyle w:val="ListParagraph"/>
        <w:keepNext/>
        <w:keepLines/>
        <w:numPr>
          <w:ilvl w:val="1"/>
          <w:numId w:val="21"/>
        </w:numPr>
      </w:pPr>
      <w:r w:rsidRPr="006A4489">
        <w:t>Genetic testing demonstrating presence of at least 2 mutant alleles in the PKLR gene, of which at least 1 is a missense mutation.</w:t>
      </w:r>
    </w:p>
    <w:p w14:paraId="623DD987" w14:textId="77777777" w:rsidR="006A4489" w:rsidRPr="006A4489" w:rsidRDefault="006A4489" w:rsidP="00B94F44">
      <w:pPr>
        <w:pStyle w:val="ListParagraph"/>
        <w:keepNext/>
        <w:keepLines/>
      </w:pPr>
      <w:r w:rsidRPr="006A4489">
        <w:t>Chart notes or medical record documentation of blood transfusion history or hemoglobin (Hgb) levels.</w:t>
      </w:r>
    </w:p>
    <w:p w14:paraId="3A5803E4" w14:textId="77777777" w:rsidR="006C01A0" w:rsidRDefault="006A4489" w:rsidP="006A4489">
      <w:pPr>
        <w:pStyle w:val="Heading3"/>
      </w:pPr>
      <w:r w:rsidRPr="006A4489">
        <w:t>Continuation requests:</w:t>
      </w:r>
    </w:p>
    <w:p w14:paraId="785CB29A" w14:textId="0C3DCFC2" w:rsidR="006A4489" w:rsidRPr="006C01A0" w:rsidRDefault="006A4489" w:rsidP="006C01A0">
      <w:pPr>
        <w:pStyle w:val="BodyText"/>
      </w:pPr>
      <w:r w:rsidRPr="006C01A0">
        <w:t xml:space="preserve">Documentation (e.g., chart notes) that the member has experienced a positive clinical </w:t>
      </w:r>
      <w:bookmarkStart w:id="0" w:name="OLE_LINK5"/>
      <w:r w:rsidRPr="006C01A0">
        <w:t>response to therapy</w:t>
      </w:r>
      <w:bookmarkStart w:id="1" w:name="OLE_LINK3"/>
      <w:bookmarkStart w:id="2" w:name="OLE_LINK2"/>
      <w:r w:rsidRPr="006C01A0">
        <w:t xml:space="preserve"> (e.g., improvement in Hgb levels, reduction in blood transfusions). </w:t>
      </w:r>
      <w:bookmarkEnd w:id="0"/>
    </w:p>
    <w:bookmarkEnd w:id="1"/>
    <w:bookmarkEnd w:id="2"/>
    <w:p w14:paraId="50A38FBA" w14:textId="19CCCCC7" w:rsidR="00FE0C63" w:rsidRDefault="00685107" w:rsidP="00E050E1">
      <w:pPr>
        <w:pStyle w:val="Heading2"/>
      </w:pPr>
      <w:r>
        <w:t>Coverage Criteria</w:t>
      </w:r>
    </w:p>
    <w:p w14:paraId="1167D3C3" w14:textId="6AFFE901" w:rsidR="006A4489" w:rsidRPr="006A4489" w:rsidRDefault="006A4489" w:rsidP="006A4489">
      <w:pPr>
        <w:pStyle w:val="Heading3"/>
      </w:pPr>
      <w:bookmarkStart w:id="3" w:name="OLE_LINK1"/>
      <w:r w:rsidRPr="006A4489">
        <w:t>Hemolytic anemia with pyruvate kinase deficiency</w:t>
      </w:r>
      <w:bookmarkEnd w:id="3"/>
    </w:p>
    <w:p w14:paraId="04D523BA" w14:textId="77777777" w:rsidR="0024296B" w:rsidRPr="0024296B" w:rsidRDefault="0024296B" w:rsidP="0024296B">
      <w:pPr>
        <w:pStyle w:val="BodyText"/>
      </w:pPr>
      <w:r w:rsidRPr="0024296B">
        <w:t>Authorization of 7 months may be granted for treatment of hemolytic anemia with pyruvate kinase (PK) deficiency in members 18 years of age or older when both of the following criteria are met:</w:t>
      </w:r>
    </w:p>
    <w:p w14:paraId="384D5898" w14:textId="77777777" w:rsidR="0024296B" w:rsidRPr="0024296B" w:rsidRDefault="0024296B" w:rsidP="0024296B">
      <w:pPr>
        <w:pStyle w:val="ListParagraph"/>
        <w:numPr>
          <w:ilvl w:val="0"/>
          <w:numId w:val="31"/>
        </w:numPr>
      </w:pPr>
      <w:r w:rsidRPr="0024296B">
        <w:t>Member meets at least one of the following:</w:t>
      </w:r>
    </w:p>
    <w:p w14:paraId="3EECAFE8" w14:textId="77777777" w:rsidR="0024296B" w:rsidRPr="0024296B" w:rsidRDefault="0024296B" w:rsidP="0024296B">
      <w:pPr>
        <w:pStyle w:val="ListParagraph"/>
        <w:numPr>
          <w:ilvl w:val="1"/>
          <w:numId w:val="31"/>
        </w:numPr>
      </w:pPr>
      <w:r w:rsidRPr="0024296B">
        <w:t>Member has a deficiency of PK enzyme activity</w:t>
      </w:r>
    </w:p>
    <w:p w14:paraId="192534DF" w14:textId="77777777" w:rsidR="0024296B" w:rsidRPr="0024296B" w:rsidRDefault="0024296B" w:rsidP="0024296B">
      <w:pPr>
        <w:pStyle w:val="ListParagraph"/>
        <w:numPr>
          <w:ilvl w:val="1"/>
          <w:numId w:val="31"/>
        </w:numPr>
      </w:pPr>
      <w:r w:rsidRPr="0024296B">
        <w:t>Member has presence of at least 2 mutant alleles in the PKLR gene, of which at least 1 is a missense mutation.</w:t>
      </w:r>
    </w:p>
    <w:p w14:paraId="5F0A06E9" w14:textId="470E30A4" w:rsidR="006A4489" w:rsidRDefault="0024296B" w:rsidP="0024296B">
      <w:pPr>
        <w:pStyle w:val="ListParagraph"/>
        <w:numPr>
          <w:ilvl w:val="0"/>
          <w:numId w:val="31"/>
        </w:numPr>
      </w:pPr>
      <w:r w:rsidRPr="0024296B">
        <w:t>Member meets at least one of the following:</w:t>
      </w:r>
    </w:p>
    <w:p w14:paraId="6AEF3D33" w14:textId="77777777" w:rsidR="00A862F8" w:rsidRPr="00A862F8" w:rsidRDefault="00A862F8" w:rsidP="00A862F8">
      <w:pPr>
        <w:pStyle w:val="ListParagraph"/>
        <w:numPr>
          <w:ilvl w:val="1"/>
          <w:numId w:val="21"/>
        </w:numPr>
      </w:pPr>
      <w:r w:rsidRPr="00A862F8">
        <w:t>History of a minimum of 6 blood transfusion episodes in the past 52 weeks</w:t>
      </w:r>
    </w:p>
    <w:p w14:paraId="770BBBF8" w14:textId="77777777" w:rsidR="00A862F8" w:rsidRPr="00A862F8" w:rsidRDefault="00A862F8" w:rsidP="00A862F8">
      <w:pPr>
        <w:pStyle w:val="ListParagraph"/>
        <w:numPr>
          <w:ilvl w:val="1"/>
          <w:numId w:val="21"/>
        </w:numPr>
      </w:pPr>
      <w:r w:rsidRPr="00A862F8">
        <w:t>Hgb concentration less than or equal to 10.0 g/dL.</w:t>
      </w:r>
    </w:p>
    <w:p w14:paraId="3A643EC3" w14:textId="56581C9E" w:rsidR="00A501AC" w:rsidRPr="00BD1CC1" w:rsidRDefault="00A501AC" w:rsidP="00A501AC">
      <w:pPr>
        <w:pStyle w:val="Heading2"/>
      </w:pPr>
      <w:r w:rsidRPr="00BD1CC1">
        <w:t>Continuation of Therapy</w:t>
      </w:r>
    </w:p>
    <w:p w14:paraId="1B8352FB" w14:textId="77777777" w:rsidR="00053D89" w:rsidRPr="00B23AD2" w:rsidRDefault="00B23AD2" w:rsidP="00053D89">
      <w:pPr>
        <w:pStyle w:val="BodyText"/>
      </w:pPr>
      <w:r w:rsidRPr="00B23AD2">
        <w:t>Authorization of 12 months may be granted for continued treatment in members who have hemolytic anemia with pyruvate kinase (PK) deficiency and who achieve or maintain a positive clinical response to therapy (e.g., improvement in hemoglobin levels, reduction in blood transfusions).</w:t>
      </w:r>
    </w:p>
    <w:p w14:paraId="6CC1BD0E" w14:textId="181332DD" w:rsidR="00053D89" w:rsidRDefault="00053D89" w:rsidP="00B23AD2">
      <w:pPr>
        <w:pStyle w:val="BodyText"/>
        <w:sectPr w:rsidR="00053D89" w:rsidSect="00AA1E6A"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10DA4309" w14:textId="10DCAA46" w:rsidR="00FF66BF" w:rsidRPr="008D1B34" w:rsidRDefault="00FF66BF" w:rsidP="00FF66BF">
      <w:pPr>
        <w:pStyle w:val="Heading2"/>
      </w:pPr>
      <w:bookmarkStart w:id="4" w:name="S2.2"/>
      <w:bookmarkStart w:id="5" w:name="section-2.2"/>
      <w:bookmarkStart w:id="6" w:name="section-2.2.1"/>
      <w:bookmarkStart w:id="7" w:name="section-2.2.2"/>
      <w:bookmarkEnd w:id="4"/>
      <w:bookmarkEnd w:id="5"/>
      <w:bookmarkEnd w:id="6"/>
      <w:bookmarkEnd w:id="7"/>
      <w:r w:rsidRPr="008D1B34">
        <w:t>References</w:t>
      </w:r>
    </w:p>
    <w:p w14:paraId="0623B6C0" w14:textId="77777777" w:rsidR="00B23AD2" w:rsidRPr="003A6F34" w:rsidRDefault="00B23AD2" w:rsidP="00B23AD2">
      <w:pPr>
        <w:pStyle w:val="ReferenceOrdered"/>
      </w:pPr>
      <w:proofErr w:type="spellStart"/>
      <w:r>
        <w:t>Pyrukynd</w:t>
      </w:r>
      <w:proofErr w:type="spellEnd"/>
      <w:r>
        <w:t xml:space="preserve"> </w:t>
      </w:r>
      <w:r w:rsidRPr="003A6F34">
        <w:t xml:space="preserve">[package insert]. </w:t>
      </w:r>
      <w:r>
        <w:t>Cambridge</w:t>
      </w:r>
      <w:r w:rsidRPr="003A6F34">
        <w:t xml:space="preserve">, </w:t>
      </w:r>
      <w:r>
        <w:t>MA</w:t>
      </w:r>
      <w:r w:rsidRPr="003A6F34">
        <w:t xml:space="preserve">: </w:t>
      </w:r>
      <w:r>
        <w:t>Agios Pharmaceuticals, Inc.</w:t>
      </w:r>
      <w:r w:rsidRPr="003A6F34">
        <w:t xml:space="preserve">; </w:t>
      </w:r>
      <w:r>
        <w:t>February</w:t>
      </w:r>
      <w:r w:rsidRPr="003A6F34">
        <w:t xml:space="preserve"> 20</w:t>
      </w:r>
      <w:r>
        <w:t>22</w:t>
      </w:r>
      <w:r w:rsidRPr="003A6F34">
        <w:t>.</w:t>
      </w:r>
    </w:p>
    <w:p w14:paraId="23269E32" w14:textId="77777777" w:rsidR="00B23AD2" w:rsidRDefault="00B23AD2" w:rsidP="00B23AD2">
      <w:pPr>
        <w:pStyle w:val="ReferenceOrdered"/>
      </w:pPr>
      <w:bookmarkStart w:id="8" w:name="OLE_LINK17"/>
      <w:r w:rsidRPr="003C1ED7">
        <w:rPr>
          <w:lang w:val="es-AR"/>
        </w:rPr>
        <w:lastRenderedPageBreak/>
        <w:t>Al-</w:t>
      </w:r>
      <w:proofErr w:type="spellStart"/>
      <w:r w:rsidRPr="003C1ED7">
        <w:rPr>
          <w:lang w:val="es-AR"/>
        </w:rPr>
        <w:t>Samkari</w:t>
      </w:r>
      <w:proofErr w:type="spellEnd"/>
      <w:r w:rsidRPr="003C1ED7">
        <w:rPr>
          <w:lang w:val="es-AR"/>
        </w:rPr>
        <w:t xml:space="preserve"> H, </w:t>
      </w:r>
      <w:proofErr w:type="spellStart"/>
      <w:r w:rsidRPr="003C1ED7">
        <w:rPr>
          <w:lang w:val="es-AR"/>
        </w:rPr>
        <w:t>Galacteros</w:t>
      </w:r>
      <w:proofErr w:type="spellEnd"/>
      <w:r w:rsidRPr="003C1ED7">
        <w:rPr>
          <w:lang w:val="es-AR"/>
        </w:rPr>
        <w:t xml:space="preserve"> F, </w:t>
      </w:r>
      <w:proofErr w:type="spellStart"/>
      <w:r w:rsidRPr="003C1ED7">
        <w:rPr>
          <w:lang w:val="es-AR"/>
        </w:rPr>
        <w:t>Glenthoj</w:t>
      </w:r>
      <w:proofErr w:type="spellEnd"/>
      <w:r w:rsidRPr="003C1ED7">
        <w:rPr>
          <w:lang w:val="es-AR"/>
        </w:rPr>
        <w:t xml:space="preserve"> A, et al. </w:t>
      </w:r>
      <w:bookmarkStart w:id="9" w:name="OLE_LINK53"/>
      <w:proofErr w:type="spellStart"/>
      <w:r>
        <w:t>Mitapivat</w:t>
      </w:r>
      <w:proofErr w:type="spellEnd"/>
      <w:r>
        <w:t xml:space="preserve"> versus placebo for pyruvate kinase deficiency</w:t>
      </w:r>
      <w:bookmarkEnd w:id="9"/>
      <w:r>
        <w:t xml:space="preserve">. </w:t>
      </w:r>
      <w:r w:rsidRPr="00F434C5">
        <w:t>N Engl J Med</w:t>
      </w:r>
      <w:r w:rsidRPr="000D4EB4">
        <w:t>.</w:t>
      </w:r>
      <w:r>
        <w:t xml:space="preserve"> 2022 Apr 14;386(15):1432-1442.</w:t>
      </w:r>
    </w:p>
    <w:bookmarkEnd w:id="8"/>
    <w:p w14:paraId="47E1A10C" w14:textId="29A0C245" w:rsidR="00C44990" w:rsidRPr="00EC7B41" w:rsidRDefault="00B23AD2" w:rsidP="006E22C3">
      <w:pPr>
        <w:pStyle w:val="ReferenceOrdered"/>
      </w:pPr>
      <w:proofErr w:type="spellStart"/>
      <w:r>
        <w:t>Glenthoj</w:t>
      </w:r>
      <w:proofErr w:type="spellEnd"/>
      <w:r>
        <w:t xml:space="preserve"> A, van Beers EJ, Al-</w:t>
      </w:r>
      <w:proofErr w:type="spellStart"/>
      <w:r>
        <w:t>Samkari</w:t>
      </w:r>
      <w:proofErr w:type="spellEnd"/>
      <w:r>
        <w:t xml:space="preserve"> H, et al. </w:t>
      </w:r>
      <w:proofErr w:type="spellStart"/>
      <w:r>
        <w:t>Mitapivat</w:t>
      </w:r>
      <w:proofErr w:type="spellEnd"/>
      <w:r>
        <w:t xml:space="preserve"> in adult patients with pyruvate kinase deficiency receiving regular transfusions (ACTIVATE-T): a </w:t>
      </w:r>
      <w:proofErr w:type="spellStart"/>
      <w:r>
        <w:t>multicentre</w:t>
      </w:r>
      <w:proofErr w:type="spellEnd"/>
      <w:r>
        <w:t xml:space="preserve">, open-label, single-arm, phase 3 trial. </w:t>
      </w:r>
      <w:r w:rsidRPr="00F434C5">
        <w:t>Lancet Haematol</w:t>
      </w:r>
      <w:r w:rsidRPr="000D4EB4">
        <w:t>.</w:t>
      </w:r>
      <w:r>
        <w:t xml:space="preserve"> 2022 Oct;9(10):e724-e732.</w:t>
      </w:r>
    </w:p>
    <w:sectPr w:rsidR="00C44990" w:rsidRPr="00EC7B41" w:rsidSect="00AA1E6A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AFA06" w14:textId="77777777" w:rsidR="00625C7B" w:rsidRDefault="00625C7B">
      <w:r>
        <w:separator/>
      </w:r>
    </w:p>
  </w:endnote>
  <w:endnote w:type="continuationSeparator" w:id="0">
    <w:p w14:paraId="4BD153D1" w14:textId="77777777" w:rsidR="00625C7B" w:rsidRDefault="00625C7B">
      <w:r>
        <w:continuationSeparator/>
      </w:r>
    </w:p>
  </w:endnote>
  <w:endnote w:type="continuationNotice" w:id="1">
    <w:p w14:paraId="09470336" w14:textId="77777777" w:rsidR="00625C7B" w:rsidRDefault="00625C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EE1009D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C7B41" w:rsidRPr="00EC7B41">
      <w:rPr>
        <w:rFonts w:cs="Arial"/>
        <w:noProof/>
        <w:sz w:val="16"/>
        <w:szCs w:val="16"/>
      </w:rPr>
      <w:t>Pyrukynd</w:t>
    </w:r>
    <w:r w:rsidR="00EC7B41">
      <w:rPr>
        <w:rFonts w:cs="Arial"/>
        <w:noProof/>
        <w:snapToGrid w:val="0"/>
        <w:color w:val="000000"/>
        <w:sz w:val="16"/>
        <w:szCs w:val="16"/>
      </w:rPr>
      <w:t xml:space="preserve"> SGM 5233-A</w:t>
    </w:r>
    <w:r w:rsidR="00EC7B41" w:rsidRPr="00EC7B41">
      <w:rPr>
        <w:rFonts w:cs="Arial"/>
        <w:noProof/>
        <w:sz w:val="16"/>
        <w:szCs w:val="16"/>
      </w:rPr>
      <w:t xml:space="preserve"> </w:t>
    </w:r>
    <w:r w:rsidR="006E22C3">
      <w:rPr>
        <w:rFonts w:cs="Arial"/>
        <w:noProof/>
        <w:sz w:val="16"/>
        <w:szCs w:val="16"/>
      </w:rPr>
      <w:t>P</w:t>
    </w:r>
    <w:r w:rsidR="00EC7B41" w:rsidRPr="00EC7B41">
      <w:rPr>
        <w:rFonts w:cs="Arial"/>
        <w:noProof/>
        <w:sz w:val="16"/>
        <w:szCs w:val="16"/>
      </w:rPr>
      <w:t>2024</w:t>
    </w:r>
    <w:r w:rsidR="00EC7B41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D5F0085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711B524" w:rsidR="00F75C81" w:rsidRPr="00EC7B41" w:rsidRDefault="00C36B72" w:rsidP="00EC7B41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2254A37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A1F00" w:rsidRPr="009E6768">
      <w:rPr>
        <w:rFonts w:cs="Arial"/>
        <w:noProof/>
        <w:sz w:val="16"/>
        <w:szCs w:val="16"/>
      </w:rPr>
      <w:t>Pyrukynd</w:t>
    </w:r>
    <w:r w:rsidR="00CA1F00">
      <w:rPr>
        <w:rFonts w:cs="Arial"/>
        <w:noProof/>
        <w:snapToGrid w:val="0"/>
        <w:color w:val="000000"/>
        <w:sz w:val="16"/>
        <w:szCs w:val="16"/>
      </w:rPr>
      <w:t xml:space="preserve"> SGM 5233-A</w:t>
    </w:r>
    <w:r w:rsidR="00CA1F00" w:rsidRPr="009E6768">
      <w:rPr>
        <w:rFonts w:cs="Arial"/>
        <w:noProof/>
        <w:sz w:val="16"/>
        <w:szCs w:val="16"/>
      </w:rPr>
      <w:t xml:space="preserve"> </w:t>
    </w:r>
    <w:r w:rsidR="006E22C3">
      <w:rPr>
        <w:rFonts w:cs="Arial"/>
        <w:noProof/>
        <w:sz w:val="16"/>
        <w:szCs w:val="16"/>
      </w:rPr>
      <w:t>P</w:t>
    </w:r>
    <w:r w:rsidR="00CA1F00" w:rsidRPr="009E6768">
      <w:rPr>
        <w:rFonts w:cs="Arial"/>
        <w:noProof/>
        <w:sz w:val="16"/>
        <w:szCs w:val="16"/>
      </w:rPr>
      <w:t>2024.docx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1F200AA1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4940691D" w:rsidR="00ED04EC" w:rsidRPr="00F50D98" w:rsidRDefault="00F50D98" w:rsidP="009E676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45D56" w14:textId="77777777" w:rsidR="00625C7B" w:rsidRDefault="00625C7B">
      <w:r>
        <w:separator/>
      </w:r>
    </w:p>
  </w:footnote>
  <w:footnote w:type="continuationSeparator" w:id="0">
    <w:p w14:paraId="2FE8D3EA" w14:textId="77777777" w:rsidR="00625C7B" w:rsidRDefault="00625C7B">
      <w:r>
        <w:continuationSeparator/>
      </w:r>
    </w:p>
  </w:footnote>
  <w:footnote w:type="continuationNotice" w:id="1">
    <w:p w14:paraId="07A0DB1A" w14:textId="77777777" w:rsidR="00625C7B" w:rsidRDefault="00625C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53AA4BF9" w:rsidR="00ED04EC" w:rsidRPr="00D93EB3" w:rsidRDefault="00D93EB3" w:rsidP="00ED04EC">
          <w:pPr>
            <w:pStyle w:val="Header"/>
            <w:rPr>
              <w:rFonts w:cs="Arial"/>
              <w:sz w:val="16"/>
              <w:szCs w:val="16"/>
            </w:rPr>
          </w:pPr>
          <w:r w:rsidRPr="00D93EB3">
            <w:rPr>
              <w:rFonts w:cs="Arial"/>
              <w:sz w:val="16"/>
              <w:szCs w:val="16"/>
            </w:rPr>
            <w:t>5233-A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3135B"/>
    <w:multiLevelType w:val="hybridMultilevel"/>
    <w:tmpl w:val="AEE040CC"/>
    <w:lvl w:ilvl="0" w:tplc="04090015">
      <w:start w:val="1"/>
      <w:numFmt w:val="upperLetter"/>
      <w:lvlText w:val="%1."/>
      <w:lvlJc w:val="left"/>
      <w:pPr>
        <w:ind w:left="60" w:hanging="360"/>
      </w:pPr>
      <w:rPr>
        <w:vertAlign w:val="baseline"/>
      </w:rPr>
    </w:lvl>
    <w:lvl w:ilvl="1" w:tplc="04090019">
      <w:start w:val="1"/>
      <w:numFmt w:val="lowerLetter"/>
      <w:lvlText w:val="%2."/>
      <w:lvlJc w:val="left"/>
      <w:pPr>
        <w:ind w:left="780" w:hanging="360"/>
      </w:pPr>
    </w:lvl>
    <w:lvl w:ilvl="2" w:tplc="0409000F">
      <w:start w:val="1"/>
      <w:numFmt w:val="decimal"/>
      <w:lvlText w:val="%3."/>
      <w:lvlJc w:val="left"/>
      <w:pPr>
        <w:ind w:left="1500" w:hanging="180"/>
      </w:pPr>
    </w:lvl>
    <w:lvl w:ilvl="3" w:tplc="0409000F">
      <w:start w:val="1"/>
      <w:numFmt w:val="decimal"/>
      <w:lvlText w:val="%4."/>
      <w:lvlJc w:val="left"/>
      <w:pPr>
        <w:ind w:left="2220" w:hanging="360"/>
      </w:pPr>
    </w:lvl>
    <w:lvl w:ilvl="4" w:tplc="04090019">
      <w:start w:val="1"/>
      <w:numFmt w:val="lowerLetter"/>
      <w:lvlText w:val="%5."/>
      <w:lvlJc w:val="left"/>
      <w:pPr>
        <w:ind w:left="2940" w:hanging="360"/>
      </w:pPr>
    </w:lvl>
    <w:lvl w:ilvl="5" w:tplc="0409001B">
      <w:start w:val="1"/>
      <w:numFmt w:val="lowerRoman"/>
      <w:lvlText w:val="%6."/>
      <w:lvlJc w:val="right"/>
      <w:pPr>
        <w:ind w:left="3660" w:hanging="180"/>
      </w:pPr>
    </w:lvl>
    <w:lvl w:ilvl="6" w:tplc="0409000F">
      <w:start w:val="1"/>
      <w:numFmt w:val="decimal"/>
      <w:lvlText w:val="%7."/>
      <w:lvlJc w:val="left"/>
      <w:pPr>
        <w:ind w:left="4380" w:hanging="360"/>
      </w:pPr>
    </w:lvl>
    <w:lvl w:ilvl="7" w:tplc="04090019">
      <w:start w:val="1"/>
      <w:numFmt w:val="lowerLetter"/>
      <w:lvlText w:val="%8."/>
      <w:lvlJc w:val="left"/>
      <w:pPr>
        <w:ind w:left="5100" w:hanging="360"/>
      </w:pPr>
    </w:lvl>
    <w:lvl w:ilvl="8" w:tplc="0409001B">
      <w:start w:val="1"/>
      <w:numFmt w:val="lowerRoman"/>
      <w:lvlText w:val="%9."/>
      <w:lvlJc w:val="right"/>
      <w:pPr>
        <w:ind w:left="5820" w:hanging="180"/>
      </w:pPr>
    </w:lvl>
  </w:abstractNum>
  <w:abstractNum w:abstractNumId="11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1E1CBF"/>
    <w:multiLevelType w:val="hybridMultilevel"/>
    <w:tmpl w:val="3ADEC606"/>
    <w:lvl w:ilvl="0" w:tplc="5A2A8376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280636"/>
    <w:multiLevelType w:val="hybridMultilevel"/>
    <w:tmpl w:val="FF283CF4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15BC11A4">
      <w:start w:val="1"/>
      <w:numFmt w:val="upperLetter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0409000F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 w:tplc="04090019">
      <w:start w:val="1"/>
      <w:numFmt w:val="lowerLetter"/>
      <w:lvlText w:val="%6."/>
      <w:lvlJc w:val="left"/>
      <w:pPr>
        <w:ind w:left="216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1C0505"/>
    <w:multiLevelType w:val="hybridMultilevel"/>
    <w:tmpl w:val="79AA029A"/>
    <w:lvl w:ilvl="0" w:tplc="FFFFFFFF">
      <w:start w:val="1"/>
      <w:numFmt w:val="upperLetter"/>
      <w:lvlText w:val="%1."/>
      <w:lvlJc w:val="left"/>
      <w:pPr>
        <w:ind w:left="60" w:hanging="360"/>
      </w:pPr>
      <w:rPr>
        <w:vertAlign w:val="baseline"/>
      </w:rPr>
    </w:lvl>
    <w:lvl w:ilvl="1" w:tplc="FFFFFFFF">
      <w:start w:val="1"/>
      <w:numFmt w:val="lowerLetter"/>
      <w:lvlText w:val="%2."/>
      <w:lvlJc w:val="left"/>
      <w:pPr>
        <w:ind w:left="780" w:hanging="360"/>
      </w:pPr>
    </w:lvl>
    <w:lvl w:ilvl="2" w:tplc="FFFFFFFF">
      <w:start w:val="1"/>
      <w:numFmt w:val="decimal"/>
      <w:lvlText w:val="%3."/>
      <w:lvlJc w:val="left"/>
      <w:pPr>
        <w:ind w:left="1500" w:hanging="180"/>
      </w:pPr>
    </w:lvl>
    <w:lvl w:ilvl="3" w:tplc="FFFFFFFF">
      <w:start w:val="1"/>
      <w:numFmt w:val="decimal"/>
      <w:lvlText w:val="%4."/>
      <w:lvlJc w:val="left"/>
      <w:pPr>
        <w:ind w:left="2220" w:hanging="360"/>
      </w:pPr>
    </w:lvl>
    <w:lvl w:ilvl="4" w:tplc="FFFFFFFF">
      <w:start w:val="1"/>
      <w:numFmt w:val="lowerLetter"/>
      <w:lvlText w:val="%5."/>
      <w:lvlJc w:val="left"/>
      <w:pPr>
        <w:ind w:left="2940" w:hanging="360"/>
      </w:pPr>
    </w:lvl>
    <w:lvl w:ilvl="5" w:tplc="E1B0C404">
      <w:start w:val="1"/>
      <w:numFmt w:val="lowerRoman"/>
      <w:lvlText w:val="%6."/>
      <w:lvlJc w:val="left"/>
      <w:pPr>
        <w:ind w:left="3840" w:hanging="360"/>
      </w:pPr>
      <w:rPr>
        <w:rFonts w:hint="default"/>
        <w:b w:val="0"/>
      </w:rPr>
    </w:lvl>
    <w:lvl w:ilvl="6" w:tplc="FFFFFFFF">
      <w:start w:val="1"/>
      <w:numFmt w:val="decimal"/>
      <w:lvlText w:val="%7."/>
      <w:lvlJc w:val="left"/>
      <w:pPr>
        <w:ind w:left="4380" w:hanging="360"/>
      </w:pPr>
    </w:lvl>
    <w:lvl w:ilvl="7" w:tplc="FFFFFFFF">
      <w:start w:val="1"/>
      <w:numFmt w:val="lowerLetter"/>
      <w:lvlText w:val="%8."/>
      <w:lvlJc w:val="left"/>
      <w:pPr>
        <w:ind w:left="5100" w:hanging="360"/>
      </w:pPr>
    </w:lvl>
    <w:lvl w:ilvl="8" w:tplc="FFFFFFFF">
      <w:start w:val="1"/>
      <w:numFmt w:val="lowerRoman"/>
      <w:lvlText w:val="%9."/>
      <w:lvlJc w:val="right"/>
      <w:pPr>
        <w:ind w:left="5820" w:hanging="180"/>
      </w:p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0D1FC7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4"/>
  </w:num>
  <w:num w:numId="2" w16cid:durableId="606935877">
    <w:abstractNumId w:val="29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2"/>
  </w:num>
  <w:num w:numId="16" w16cid:durableId="898320195">
    <w:abstractNumId w:val="21"/>
  </w:num>
  <w:num w:numId="17" w16cid:durableId="2128498676">
    <w:abstractNumId w:val="31"/>
  </w:num>
  <w:num w:numId="18" w16cid:durableId="299724409">
    <w:abstractNumId w:val="25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32"/>
  </w:num>
  <w:num w:numId="22" w16cid:durableId="1472481103">
    <w:abstractNumId w:val="27"/>
  </w:num>
  <w:num w:numId="23" w16cid:durableId="1997420403">
    <w:abstractNumId w:val="30"/>
  </w:num>
  <w:num w:numId="24" w16cid:durableId="33312838">
    <w:abstractNumId w:val="26"/>
  </w:num>
  <w:num w:numId="25" w16cid:durableId="507404939">
    <w:abstractNumId w:val="20"/>
  </w:num>
  <w:num w:numId="26" w16cid:durableId="1950313333">
    <w:abstractNumId w:val="23"/>
  </w:num>
  <w:num w:numId="27" w16cid:durableId="1866016584">
    <w:abstractNumId w:val="22"/>
  </w:num>
  <w:num w:numId="28" w16cid:durableId="644971568">
    <w:abstractNumId w:val="10"/>
  </w:num>
  <w:num w:numId="29" w16cid:durableId="1041786577">
    <w:abstractNumId w:val="19"/>
  </w:num>
  <w:num w:numId="30" w16cid:durableId="96488391">
    <w:abstractNumId w:val="18"/>
  </w:num>
  <w:num w:numId="31" w16cid:durableId="1405448118">
    <w:abstractNumId w:val="28"/>
  </w:num>
  <w:num w:numId="32" w16cid:durableId="459543018">
    <w:abstractNumId w:val="13"/>
  </w:num>
  <w:num w:numId="33" w16cid:durableId="1605260670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3D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4EB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959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2540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91E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E07"/>
    <w:rsid w:val="00240136"/>
    <w:rsid w:val="00240736"/>
    <w:rsid w:val="00240C70"/>
    <w:rsid w:val="0024185D"/>
    <w:rsid w:val="002423DE"/>
    <w:rsid w:val="0024296B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7D7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6A4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B84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375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102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C7B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5EE3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4290"/>
    <w:rsid w:val="006A4489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1A0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2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07E87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24D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A08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415B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049E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2312"/>
    <w:rsid w:val="009E489A"/>
    <w:rsid w:val="009E4EB9"/>
    <w:rsid w:val="009E5212"/>
    <w:rsid w:val="009E6768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3C2A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62F8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1B9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3AD2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77"/>
    <w:rsid w:val="00B916FF"/>
    <w:rsid w:val="00B92FFE"/>
    <w:rsid w:val="00B93BBA"/>
    <w:rsid w:val="00B94445"/>
    <w:rsid w:val="00B9493B"/>
    <w:rsid w:val="00B94F44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8ED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203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3BA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00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9B2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A8C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3EB3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294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B41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E7E88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319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4C5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230191-993C-4FB3-A36F-EE8198A715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Pyrukynd SGM 5233-A 2024</vt:lpstr>
    </vt:vector>
  </TitlesOfParts>
  <Company>PCS Health Systems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Pyrukynd SGM 5233-A 2024</dc:title>
  <dc:subject/>
  <dc:creator>CVS Caremark</dc:creator>
  <cp:keywords/>
  <cp:lastModifiedBy>Holden, Jaime C</cp:lastModifiedBy>
  <cp:revision>5</cp:revision>
  <cp:lastPrinted>2018-01-09T11:01:00Z</cp:lastPrinted>
  <dcterms:created xsi:type="dcterms:W3CDTF">2024-10-29T14:43:00Z</dcterms:created>
  <dcterms:modified xsi:type="dcterms:W3CDTF">2024-10-30T16:10:00Z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1771200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